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3A973" w14:textId="77777777" w:rsidR="00D627FD" w:rsidRPr="00D627FD" w:rsidRDefault="00D627FD" w:rsidP="00D627FD">
      <w:r w:rsidRPr="00D627FD">
        <w:t>Here's a structured eligibility</w:t>
      </w:r>
      <w:r w:rsidRPr="00D627FD">
        <w:noBreakHyphen/>
        <w:t>criteria form tailored for Type</w:t>
      </w:r>
      <w:r w:rsidRPr="00D627FD">
        <w:rPr>
          <w:rFonts w:ascii="Arial" w:hAnsi="Arial" w:cs="Arial"/>
        </w:rPr>
        <w:t> </w:t>
      </w:r>
      <w:r w:rsidRPr="00D627FD">
        <w:t xml:space="preserve">2 diabetes patients in Wales who may be considered for prescription of </w:t>
      </w:r>
      <w:proofErr w:type="spellStart"/>
      <w:r w:rsidRPr="00D627FD">
        <w:rPr>
          <w:b/>
          <w:bCs/>
        </w:rPr>
        <w:t>tirzepatide</w:t>
      </w:r>
      <w:proofErr w:type="spellEnd"/>
      <w:r w:rsidRPr="00D627FD">
        <w:rPr>
          <w:b/>
          <w:bCs/>
        </w:rPr>
        <w:t xml:space="preserve"> (</w:t>
      </w:r>
      <w:proofErr w:type="spellStart"/>
      <w:r w:rsidRPr="00D627FD">
        <w:rPr>
          <w:b/>
          <w:bCs/>
        </w:rPr>
        <w:t>Mounjaro</w:t>
      </w:r>
      <w:proofErr w:type="spellEnd"/>
      <w:r w:rsidRPr="00D627FD">
        <w:rPr>
          <w:b/>
          <w:bCs/>
        </w:rPr>
        <w:t>®)</w:t>
      </w:r>
      <w:r w:rsidRPr="00D627FD">
        <w:t xml:space="preserve">, based on the final </w:t>
      </w:r>
      <w:r w:rsidRPr="00D627FD">
        <w:rPr>
          <w:b/>
          <w:bCs/>
        </w:rPr>
        <w:t>NICE Technology Appraisal TA924</w:t>
      </w:r>
      <w:r w:rsidRPr="00D627FD">
        <w:t>, as implemented via Welsh policy:</w:t>
      </w:r>
    </w:p>
    <w:p w14:paraId="71F89C08" w14:textId="77777777" w:rsidR="00D627FD" w:rsidRPr="00D627FD" w:rsidRDefault="00000000" w:rsidP="00D627FD">
      <w:r>
        <w:pict w14:anchorId="0B1327DA">
          <v:rect id="_x0000_i1025" style="width:0;height:1.5pt" o:hralign="center" o:hrstd="t" o:hr="t" fillcolor="#a0a0a0" stroked="f"/>
        </w:pict>
      </w:r>
    </w:p>
    <w:p w14:paraId="6986D777" w14:textId="0058FAC3" w:rsidR="00D627FD" w:rsidRPr="00D627FD" w:rsidRDefault="00D627FD" w:rsidP="00D627FD">
      <w:pPr>
        <w:jc w:val="center"/>
        <w:rPr>
          <w:b/>
          <w:bCs/>
          <w:u w:val="single"/>
        </w:rPr>
      </w:pPr>
      <w:proofErr w:type="spellStart"/>
      <w:r w:rsidRPr="00D627FD">
        <w:rPr>
          <w:b/>
          <w:bCs/>
          <w:u w:val="single"/>
        </w:rPr>
        <w:t>Mounjaro</w:t>
      </w:r>
      <w:proofErr w:type="spellEnd"/>
      <w:r w:rsidRPr="00D627FD">
        <w:rPr>
          <w:b/>
          <w:bCs/>
          <w:u w:val="single"/>
        </w:rPr>
        <w:t xml:space="preserve"> (</w:t>
      </w:r>
      <w:proofErr w:type="spellStart"/>
      <w:r w:rsidRPr="00D627FD">
        <w:rPr>
          <w:b/>
          <w:bCs/>
          <w:u w:val="single"/>
        </w:rPr>
        <w:t>Tirzepatide</w:t>
      </w:r>
      <w:proofErr w:type="spellEnd"/>
      <w:r w:rsidRPr="00D627FD">
        <w:rPr>
          <w:b/>
          <w:bCs/>
          <w:u w:val="single"/>
        </w:rPr>
        <w:t>) Eligibility Criteria Form (type 2 diabetes).</w:t>
      </w:r>
    </w:p>
    <w:p w14:paraId="3C5AB28C" w14:textId="77777777" w:rsidR="00D627FD" w:rsidRPr="00D627FD" w:rsidRDefault="00D627FD" w:rsidP="00D627FD">
      <w:pPr>
        <w:jc w:val="center"/>
        <w:rPr>
          <w:b/>
          <w:bCs/>
        </w:rPr>
      </w:pPr>
    </w:p>
    <w:p w14:paraId="7504D41B" w14:textId="77777777" w:rsidR="00D627FD" w:rsidRPr="00D627FD" w:rsidRDefault="00D627FD" w:rsidP="00D627FD">
      <w:r w:rsidRPr="00D627FD">
        <w:rPr>
          <w:b/>
          <w:bCs/>
        </w:rPr>
        <w:t>For adults (≥</w:t>
      </w:r>
      <w:r w:rsidRPr="00D627FD">
        <w:rPr>
          <w:rFonts w:ascii="Arial" w:hAnsi="Arial" w:cs="Arial"/>
          <w:b/>
          <w:bCs/>
        </w:rPr>
        <w:t> </w:t>
      </w:r>
      <w:r w:rsidRPr="00D627FD">
        <w:rPr>
          <w:b/>
          <w:bCs/>
        </w:rPr>
        <w:t>18</w:t>
      </w:r>
      <w:r w:rsidRPr="00D627FD">
        <w:rPr>
          <w:rFonts w:ascii="Arial" w:hAnsi="Arial" w:cs="Arial"/>
          <w:b/>
          <w:bCs/>
        </w:rPr>
        <w:t> </w:t>
      </w:r>
      <w:r w:rsidRPr="00D627FD">
        <w:rPr>
          <w:b/>
          <w:bCs/>
        </w:rPr>
        <w:t>years) with Type 2 diabetes in Wales</w:t>
      </w:r>
    </w:p>
    <w:p w14:paraId="5BECA8B8" w14:textId="77777777" w:rsidR="00D627FD" w:rsidRDefault="00D627FD" w:rsidP="00D627FD">
      <w:pPr>
        <w:rPr>
          <w:b/>
          <w:bCs/>
        </w:rPr>
      </w:pPr>
    </w:p>
    <w:p w14:paraId="554A14E1" w14:textId="2075A2A0" w:rsidR="00D627FD" w:rsidRPr="00D627FD" w:rsidRDefault="00D627FD" w:rsidP="00D627FD">
      <w:pPr>
        <w:rPr>
          <w:b/>
          <w:bCs/>
        </w:rPr>
      </w:pPr>
      <w:r w:rsidRPr="00D627FD">
        <w:rPr>
          <w:b/>
          <w:bCs/>
        </w:rPr>
        <w:t>1. Glycaemic treatment history</w:t>
      </w:r>
    </w:p>
    <w:p w14:paraId="160FEC5C" w14:textId="77777777" w:rsidR="00D627FD" w:rsidRPr="00D627FD" w:rsidRDefault="00D627FD" w:rsidP="00D627FD">
      <w:pPr>
        <w:numPr>
          <w:ilvl w:val="0"/>
          <w:numId w:val="1"/>
        </w:numPr>
      </w:pPr>
      <w:r w:rsidRPr="00D627FD">
        <w:rPr>
          <w:b/>
          <w:bCs/>
        </w:rPr>
        <w:t>Triple therapy</w:t>
      </w:r>
      <w:r w:rsidRPr="00D627FD">
        <w:t xml:space="preserve">: Patient has been on metformin plus </w:t>
      </w:r>
      <w:r w:rsidRPr="00D627FD">
        <w:rPr>
          <w:b/>
          <w:bCs/>
        </w:rPr>
        <w:t>two other oral antidiabetic agents</w:t>
      </w:r>
      <w:r w:rsidRPr="00D627FD">
        <w:t xml:space="preserve"> and:</w:t>
      </w:r>
    </w:p>
    <w:p w14:paraId="7BEB391E" w14:textId="64C8ED2B" w:rsidR="00D627FD" w:rsidRPr="00D627FD" w:rsidRDefault="00D627FD" w:rsidP="00D627FD">
      <w:pPr>
        <w:numPr>
          <w:ilvl w:val="1"/>
          <w:numId w:val="1"/>
        </w:numPr>
      </w:pPr>
      <w:proofErr w:type="spellStart"/>
      <w:r w:rsidRPr="00D627FD">
        <w:t>HbA₁c</w:t>
      </w:r>
      <w:proofErr w:type="spellEnd"/>
      <w:r w:rsidRPr="00D627FD">
        <w:t xml:space="preserve"> remains above target</w:t>
      </w:r>
      <w:r w:rsidR="00412C2F">
        <w:t xml:space="preserve"> (above 58mmol/mol)</w:t>
      </w:r>
      <w:r w:rsidRPr="00D627FD">
        <w:t>, or</w:t>
      </w:r>
    </w:p>
    <w:p w14:paraId="09FB40D8" w14:textId="77777777" w:rsidR="00D627FD" w:rsidRPr="00D627FD" w:rsidRDefault="00D627FD" w:rsidP="00D627FD">
      <w:pPr>
        <w:numPr>
          <w:ilvl w:val="1"/>
          <w:numId w:val="1"/>
        </w:numPr>
      </w:pPr>
      <w:r w:rsidRPr="00D627FD">
        <w:t xml:space="preserve">The regimen is </w:t>
      </w:r>
      <w:r w:rsidRPr="00D627FD">
        <w:rPr>
          <w:b/>
          <w:bCs/>
        </w:rPr>
        <w:t>not tolerated</w:t>
      </w:r>
      <w:r w:rsidRPr="00D627FD">
        <w:t>, or</w:t>
      </w:r>
    </w:p>
    <w:p w14:paraId="06F34536" w14:textId="22001619" w:rsidR="00D627FD" w:rsidRPr="00D627FD" w:rsidRDefault="00D627FD" w:rsidP="00D627FD">
      <w:pPr>
        <w:numPr>
          <w:ilvl w:val="1"/>
          <w:numId w:val="1"/>
        </w:numPr>
      </w:pPr>
      <w:r w:rsidRPr="00D627FD">
        <w:rPr>
          <w:b/>
          <w:bCs/>
        </w:rPr>
        <w:t>Contraindications exist</w:t>
      </w:r>
      <w:r w:rsidRPr="00D627FD">
        <w:t xml:space="preserve"> to continuing the therapy</w:t>
      </w:r>
      <w:r w:rsidRPr="00D627FD">
        <w:br/>
        <w:t>→ Consider switching one agent to a GLP</w:t>
      </w:r>
      <w:r w:rsidRPr="00D627FD">
        <w:noBreakHyphen/>
        <w:t xml:space="preserve">1RA </w:t>
      </w:r>
      <w:r w:rsidR="000B30C1">
        <w:t>(</w:t>
      </w:r>
      <w:proofErr w:type="spellStart"/>
      <w:r w:rsidR="000B30C1">
        <w:t>semaglutide</w:t>
      </w:r>
      <w:proofErr w:type="spellEnd"/>
      <w:r w:rsidR="000B30C1">
        <w:t xml:space="preserve">, dulaglutide) </w:t>
      </w:r>
      <w:r w:rsidRPr="00D627FD">
        <w:t xml:space="preserve">or </w:t>
      </w:r>
      <w:proofErr w:type="spellStart"/>
      <w:r w:rsidRPr="00D627FD">
        <w:t>tirzepatide</w:t>
      </w:r>
      <w:proofErr w:type="spellEnd"/>
      <w:r w:rsidRPr="00D627FD">
        <w:t xml:space="preserve"> as an alternative </w:t>
      </w:r>
    </w:p>
    <w:p w14:paraId="36208A76" w14:textId="77777777" w:rsidR="00D627FD" w:rsidRDefault="00D627FD" w:rsidP="00D627FD">
      <w:pPr>
        <w:rPr>
          <w:b/>
          <w:bCs/>
        </w:rPr>
      </w:pPr>
    </w:p>
    <w:p w14:paraId="3DB2D892" w14:textId="21117775" w:rsidR="00D627FD" w:rsidRPr="00D627FD" w:rsidRDefault="00D627FD" w:rsidP="00D627FD">
      <w:pPr>
        <w:rPr>
          <w:b/>
          <w:bCs/>
        </w:rPr>
      </w:pPr>
      <w:r w:rsidRPr="00D627FD">
        <w:rPr>
          <w:b/>
          <w:bCs/>
        </w:rPr>
        <w:t>2. Body Mass Index (BMI) thresholds</w:t>
      </w:r>
    </w:p>
    <w:p w14:paraId="112B3C79" w14:textId="196CAB3C" w:rsidR="00D627FD" w:rsidRPr="00D627FD" w:rsidRDefault="00D627FD" w:rsidP="00D627FD">
      <w:pPr>
        <w:numPr>
          <w:ilvl w:val="0"/>
          <w:numId w:val="2"/>
        </w:numPr>
      </w:pPr>
      <w:r w:rsidRPr="00D627FD">
        <w:rPr>
          <w:b/>
          <w:bCs/>
        </w:rPr>
        <w:t>General threshold</w:t>
      </w:r>
      <w:r w:rsidRPr="00D627FD">
        <w:t>: BMI ≥</w:t>
      </w:r>
      <w:r w:rsidRPr="00D627FD">
        <w:rPr>
          <w:rFonts w:ascii="Arial" w:hAnsi="Arial" w:cs="Arial"/>
        </w:rPr>
        <w:t> </w:t>
      </w:r>
      <w:r w:rsidRPr="00D627FD">
        <w:t>35</w:t>
      </w:r>
      <w:r w:rsidRPr="00D627FD">
        <w:rPr>
          <w:rFonts w:ascii="Arial" w:hAnsi="Arial" w:cs="Arial"/>
        </w:rPr>
        <w:t> </w:t>
      </w:r>
      <w:r w:rsidRPr="00D627FD">
        <w:t>kg/m</w:t>
      </w:r>
      <w:r w:rsidRPr="00D627FD">
        <w:rPr>
          <w:rFonts w:ascii="Aptos" w:hAnsi="Aptos" w:cs="Aptos"/>
        </w:rPr>
        <w:t>²</w:t>
      </w:r>
      <w:r w:rsidRPr="00D627FD">
        <w:t xml:space="preserve"> </w:t>
      </w:r>
      <w:r w:rsidRPr="00D627FD">
        <w:rPr>
          <w:b/>
          <w:bCs/>
        </w:rPr>
        <w:t>plus</w:t>
      </w:r>
      <w:r w:rsidRPr="00D627FD">
        <w:t xml:space="preserve"> at least one obesity</w:t>
      </w:r>
      <w:r w:rsidRPr="00D627FD">
        <w:noBreakHyphen/>
        <w:t xml:space="preserve">related medical or psychological problem </w:t>
      </w:r>
    </w:p>
    <w:p w14:paraId="42BBA2DB" w14:textId="78F1D284" w:rsidR="00D627FD" w:rsidRPr="00D627FD" w:rsidRDefault="00D627FD" w:rsidP="00D627FD">
      <w:pPr>
        <w:numPr>
          <w:ilvl w:val="0"/>
          <w:numId w:val="2"/>
        </w:numPr>
      </w:pPr>
      <w:r w:rsidRPr="00D627FD">
        <w:rPr>
          <w:b/>
          <w:bCs/>
        </w:rPr>
        <w:t>Lower BMI allowed</w:t>
      </w:r>
      <w:r w:rsidRPr="00D627FD">
        <w:t xml:space="preserve"> (typically BMI ≥</w:t>
      </w:r>
      <w:r w:rsidRPr="00D627FD">
        <w:rPr>
          <w:rFonts w:ascii="Arial" w:hAnsi="Arial" w:cs="Arial"/>
        </w:rPr>
        <w:t> </w:t>
      </w:r>
      <w:r w:rsidRPr="00D627FD">
        <w:t>32.5</w:t>
      </w:r>
      <w:r w:rsidRPr="00D627FD">
        <w:rPr>
          <w:rFonts w:ascii="Arial" w:hAnsi="Arial" w:cs="Arial"/>
        </w:rPr>
        <w:t> </w:t>
      </w:r>
      <w:r w:rsidRPr="00D627FD">
        <w:t>kg/m</w:t>
      </w:r>
      <w:r w:rsidRPr="00D627FD">
        <w:rPr>
          <w:rFonts w:ascii="Aptos" w:hAnsi="Aptos" w:cs="Aptos"/>
        </w:rPr>
        <w:t>²</w:t>
      </w:r>
      <w:r w:rsidRPr="00D627FD">
        <w:t>): for people of South Asian, Chinese, other Asian, Middle Eastern, Black African or African</w:t>
      </w:r>
      <w:r w:rsidRPr="00D627FD">
        <w:noBreakHyphen/>
        <w:t xml:space="preserve">Caribbean backgrounds; if insulin therapy would significantly disrupt occupation, or if </w:t>
      </w:r>
      <w:r w:rsidRPr="00D627FD">
        <w:rPr>
          <w:b/>
          <w:bCs/>
        </w:rPr>
        <w:t>weight loss</w:t>
      </w:r>
      <w:r w:rsidRPr="00D627FD">
        <w:t xml:space="preserve"> would improve other obesity</w:t>
      </w:r>
      <w:r w:rsidRPr="00D627FD">
        <w:noBreakHyphen/>
        <w:t xml:space="preserve">related complications </w:t>
      </w:r>
    </w:p>
    <w:p w14:paraId="00EF2A8F" w14:textId="77777777" w:rsidR="00D627FD" w:rsidRDefault="00D627FD" w:rsidP="00D627FD">
      <w:pPr>
        <w:rPr>
          <w:b/>
          <w:bCs/>
        </w:rPr>
      </w:pPr>
    </w:p>
    <w:p w14:paraId="33638E8A" w14:textId="5828D62E" w:rsidR="00D627FD" w:rsidRPr="00D627FD" w:rsidRDefault="00D627FD" w:rsidP="00D627FD">
      <w:pPr>
        <w:rPr>
          <w:b/>
          <w:bCs/>
        </w:rPr>
      </w:pPr>
      <w:r w:rsidRPr="00D627FD">
        <w:rPr>
          <w:b/>
          <w:bCs/>
        </w:rPr>
        <w:t xml:space="preserve">3. Exclusion </w:t>
      </w:r>
      <w:r w:rsidR="000B30C1">
        <w:rPr>
          <w:b/>
          <w:bCs/>
        </w:rPr>
        <w:t>criteria</w:t>
      </w:r>
    </w:p>
    <w:p w14:paraId="0D601BF4" w14:textId="2B279ECA" w:rsidR="00D627FD" w:rsidRPr="00D627FD" w:rsidRDefault="00D627FD" w:rsidP="00D627FD">
      <w:pPr>
        <w:numPr>
          <w:ilvl w:val="0"/>
          <w:numId w:val="3"/>
        </w:numPr>
      </w:pPr>
      <w:r w:rsidRPr="00D627FD">
        <w:t xml:space="preserve">Patient </w:t>
      </w:r>
      <w:r w:rsidRPr="00D627FD">
        <w:rPr>
          <w:b/>
          <w:bCs/>
        </w:rPr>
        <w:t>must not</w:t>
      </w:r>
      <w:r w:rsidRPr="00D627FD">
        <w:t xml:space="preserve"> be on another GLP</w:t>
      </w:r>
      <w:r w:rsidRPr="00D627FD">
        <w:noBreakHyphen/>
        <w:t xml:space="preserve">1RA (e.g. </w:t>
      </w:r>
      <w:proofErr w:type="spellStart"/>
      <w:r w:rsidRPr="00D627FD">
        <w:t>semaglutide</w:t>
      </w:r>
      <w:proofErr w:type="spellEnd"/>
      <w:r w:rsidRPr="00D627FD">
        <w:t xml:space="preserve">, liraglutide, dulaglutide, exenatide, combination products) concurrently with </w:t>
      </w:r>
      <w:proofErr w:type="spellStart"/>
      <w:r w:rsidRPr="00D627FD">
        <w:t>tirzepatide</w:t>
      </w:r>
      <w:proofErr w:type="spellEnd"/>
      <w:r w:rsidRPr="00D627FD">
        <w:t xml:space="preserve"> </w:t>
      </w:r>
    </w:p>
    <w:p w14:paraId="6D348950" w14:textId="77777777" w:rsidR="00D627FD" w:rsidRDefault="00D627FD" w:rsidP="00D627FD">
      <w:pPr>
        <w:rPr>
          <w:b/>
          <w:bCs/>
        </w:rPr>
      </w:pPr>
    </w:p>
    <w:p w14:paraId="661DA808" w14:textId="785C7726" w:rsidR="00D627FD" w:rsidRPr="000B30C1" w:rsidRDefault="00D627FD" w:rsidP="00D627FD">
      <w:pPr>
        <w:pStyle w:val="ListParagraph"/>
        <w:numPr>
          <w:ilvl w:val="0"/>
          <w:numId w:val="9"/>
        </w:numPr>
        <w:rPr>
          <w:b/>
          <w:bCs/>
        </w:rPr>
      </w:pPr>
      <w:r>
        <w:t>Any patients with active retinal disease (</w:t>
      </w:r>
      <w:proofErr w:type="spellStart"/>
      <w:r>
        <w:t>i.e</w:t>
      </w:r>
      <w:proofErr w:type="spellEnd"/>
      <w:r>
        <w:t xml:space="preserve"> non</w:t>
      </w:r>
      <w:r w:rsidR="000B30C1">
        <w:t>-</w:t>
      </w:r>
      <w:r>
        <w:t xml:space="preserve"> proliferative/ proliferative retinopathy or maculopathy) who require ophthalmology input.</w:t>
      </w:r>
    </w:p>
    <w:p w14:paraId="6B7851E3" w14:textId="77777777" w:rsidR="000B30C1" w:rsidRDefault="000B30C1" w:rsidP="000B30C1">
      <w:pPr>
        <w:rPr>
          <w:b/>
          <w:bCs/>
        </w:rPr>
      </w:pPr>
    </w:p>
    <w:p w14:paraId="235D2B9A" w14:textId="21BAC724" w:rsidR="000B30C1" w:rsidRPr="000B30C1" w:rsidRDefault="000B30C1" w:rsidP="000B30C1">
      <w:pPr>
        <w:pStyle w:val="ListParagraph"/>
        <w:numPr>
          <w:ilvl w:val="0"/>
          <w:numId w:val="9"/>
        </w:numPr>
      </w:pPr>
      <w:r w:rsidRPr="000B30C1">
        <w:t>Past medical history of pancreatitis</w:t>
      </w:r>
      <w:r>
        <w:t>.</w:t>
      </w:r>
    </w:p>
    <w:p w14:paraId="4A8240DD" w14:textId="77777777" w:rsidR="00D627FD" w:rsidRDefault="00D627FD" w:rsidP="00D627FD">
      <w:pPr>
        <w:rPr>
          <w:b/>
          <w:bCs/>
        </w:rPr>
      </w:pPr>
    </w:p>
    <w:p w14:paraId="7883F6F6" w14:textId="0377E142" w:rsidR="00D627FD" w:rsidRPr="00D627FD" w:rsidRDefault="00D627FD" w:rsidP="00D627FD">
      <w:pPr>
        <w:jc w:val="center"/>
        <w:rPr>
          <w:b/>
          <w:bCs/>
          <w:u w:val="single"/>
        </w:rPr>
      </w:pPr>
      <w:proofErr w:type="spellStart"/>
      <w:r w:rsidRPr="00D627FD">
        <w:rPr>
          <w:b/>
          <w:bCs/>
          <w:u w:val="single"/>
        </w:rPr>
        <w:t>Mounjaro</w:t>
      </w:r>
      <w:proofErr w:type="spellEnd"/>
      <w:r w:rsidRPr="00D627FD">
        <w:rPr>
          <w:b/>
          <w:bCs/>
          <w:u w:val="single"/>
        </w:rPr>
        <w:t xml:space="preserve"> (</w:t>
      </w:r>
      <w:proofErr w:type="spellStart"/>
      <w:r w:rsidRPr="00D627FD">
        <w:rPr>
          <w:b/>
          <w:bCs/>
          <w:u w:val="single"/>
        </w:rPr>
        <w:t>Tirzepatide</w:t>
      </w:r>
      <w:proofErr w:type="spellEnd"/>
      <w:r w:rsidRPr="00D627FD">
        <w:rPr>
          <w:b/>
          <w:bCs/>
          <w:u w:val="single"/>
        </w:rPr>
        <w:t>) Eligibility Criteria Form (</w:t>
      </w:r>
      <w:r>
        <w:rPr>
          <w:b/>
          <w:bCs/>
          <w:u w:val="single"/>
        </w:rPr>
        <w:t>weight management</w:t>
      </w:r>
      <w:r w:rsidRPr="00D627FD">
        <w:rPr>
          <w:b/>
          <w:bCs/>
          <w:u w:val="single"/>
        </w:rPr>
        <w:t>).</w:t>
      </w:r>
    </w:p>
    <w:p w14:paraId="39AB37AF" w14:textId="77777777" w:rsidR="00D627FD" w:rsidRDefault="00D627FD" w:rsidP="00D627FD">
      <w:pPr>
        <w:jc w:val="center"/>
        <w:rPr>
          <w:b/>
          <w:bCs/>
        </w:rPr>
      </w:pPr>
    </w:p>
    <w:p w14:paraId="3B1D0E9F" w14:textId="65A65B90" w:rsidR="00D627FD" w:rsidRPr="00D627FD" w:rsidRDefault="00D627FD" w:rsidP="00D627FD">
      <w:pPr>
        <w:rPr>
          <w:b/>
          <w:bCs/>
        </w:rPr>
      </w:pPr>
      <w:r>
        <w:rPr>
          <w:b/>
          <w:bCs/>
        </w:rPr>
        <w:t>1</w:t>
      </w:r>
      <w:r w:rsidRPr="00D627FD">
        <w:rPr>
          <w:b/>
          <w:bCs/>
        </w:rPr>
        <w:t>. Specialist service prescribing for weight</w:t>
      </w:r>
      <w:r w:rsidRPr="00D627FD">
        <w:rPr>
          <w:b/>
          <w:bCs/>
        </w:rPr>
        <w:noBreakHyphen/>
        <w:t>management pathways</w:t>
      </w:r>
    </w:p>
    <w:p w14:paraId="6C273FD0" w14:textId="77777777" w:rsidR="006D3794" w:rsidRPr="006D3794" w:rsidRDefault="00D627FD" w:rsidP="00D627FD">
      <w:pPr>
        <w:numPr>
          <w:ilvl w:val="0"/>
          <w:numId w:val="4"/>
        </w:numPr>
      </w:pPr>
      <w:r w:rsidRPr="00D627FD">
        <w:t xml:space="preserve">In </w:t>
      </w:r>
      <w:r w:rsidRPr="00D627FD">
        <w:rPr>
          <w:b/>
          <w:bCs/>
        </w:rPr>
        <w:t>Wales</w:t>
      </w:r>
      <w:r w:rsidRPr="00D627FD">
        <w:t xml:space="preserve">, </w:t>
      </w:r>
      <w:proofErr w:type="spellStart"/>
      <w:r w:rsidRPr="00D627FD">
        <w:t>tirzepatide</w:t>
      </w:r>
      <w:proofErr w:type="spellEnd"/>
      <w:r w:rsidRPr="00D627FD">
        <w:t xml:space="preserve"> </w:t>
      </w:r>
      <w:r w:rsidRPr="00D627FD">
        <w:rPr>
          <w:b/>
          <w:bCs/>
        </w:rPr>
        <w:t xml:space="preserve">must be initiated and prescribed only within specialist </w:t>
      </w:r>
    </w:p>
    <w:p w14:paraId="64C6BF54" w14:textId="267B8843" w:rsidR="00D627FD" w:rsidRPr="00D627FD" w:rsidRDefault="00D627FD" w:rsidP="006D3794">
      <w:pPr>
        <w:ind w:left="720"/>
      </w:pPr>
      <w:r w:rsidRPr="00D627FD">
        <w:rPr>
          <w:b/>
          <w:bCs/>
        </w:rPr>
        <w:t>weight</w:t>
      </w:r>
      <w:r w:rsidRPr="00D627FD">
        <w:rPr>
          <w:b/>
          <w:bCs/>
        </w:rPr>
        <w:noBreakHyphen/>
        <w:t>management services</w:t>
      </w:r>
      <w:r w:rsidRPr="00D627FD">
        <w:t xml:space="preserve"> (typically All</w:t>
      </w:r>
      <w:r w:rsidRPr="00D627FD">
        <w:noBreakHyphen/>
        <w:t>Wales Weight Management Pathway level</w:t>
      </w:r>
      <w:r w:rsidRPr="00D627FD">
        <w:rPr>
          <w:rFonts w:ascii="Arial" w:hAnsi="Arial" w:cs="Arial"/>
        </w:rPr>
        <w:t> </w:t>
      </w:r>
      <w:r w:rsidRPr="00D627FD">
        <w:t xml:space="preserve">3), </w:t>
      </w:r>
    </w:p>
    <w:p w14:paraId="37A6E3FD" w14:textId="77777777" w:rsidR="00D627FD" w:rsidRPr="00D627FD" w:rsidRDefault="00D627FD" w:rsidP="00D627FD">
      <w:pPr>
        <w:numPr>
          <w:ilvl w:val="0"/>
          <w:numId w:val="4"/>
        </w:numPr>
      </w:pPr>
      <w:r w:rsidRPr="00D627FD">
        <w:rPr>
          <w:b/>
          <w:bCs/>
        </w:rPr>
        <w:t>Primary care initiation is currently not permitted</w:t>
      </w:r>
      <w:r w:rsidRPr="00D627FD">
        <w:t xml:space="preserve"> unless patient was started before the circular was issued.</w:t>
      </w:r>
    </w:p>
    <w:p w14:paraId="18853F06" w14:textId="194D6BFD" w:rsidR="00D627FD" w:rsidRPr="00D627FD" w:rsidRDefault="00D627FD" w:rsidP="00D627FD">
      <w:pPr>
        <w:rPr>
          <w:b/>
          <w:bCs/>
        </w:rPr>
      </w:pPr>
      <w:r>
        <w:rPr>
          <w:b/>
          <w:bCs/>
        </w:rPr>
        <w:t>2</w:t>
      </w:r>
      <w:r w:rsidRPr="00D627FD">
        <w:rPr>
          <w:b/>
          <w:bCs/>
        </w:rPr>
        <w:t>. Accompanied by behavioural support intervention</w:t>
      </w:r>
    </w:p>
    <w:p w14:paraId="4ACF820D" w14:textId="77777777" w:rsidR="00D627FD" w:rsidRPr="00D627FD" w:rsidRDefault="00D627FD" w:rsidP="00D627FD">
      <w:pPr>
        <w:numPr>
          <w:ilvl w:val="0"/>
          <w:numId w:val="5"/>
        </w:numPr>
      </w:pPr>
      <w:r w:rsidRPr="00D627FD">
        <w:t xml:space="preserve">Prescription </w:t>
      </w:r>
      <w:r w:rsidRPr="00D627FD">
        <w:rPr>
          <w:b/>
          <w:bCs/>
        </w:rPr>
        <w:t>must</w:t>
      </w:r>
      <w:r w:rsidRPr="00D627FD">
        <w:t xml:space="preserve"> be part of a structured programme including:</w:t>
      </w:r>
    </w:p>
    <w:p w14:paraId="15BD0165" w14:textId="77777777" w:rsidR="00D627FD" w:rsidRPr="00D627FD" w:rsidRDefault="00D627FD" w:rsidP="00D627FD">
      <w:pPr>
        <w:numPr>
          <w:ilvl w:val="1"/>
          <w:numId w:val="5"/>
        </w:numPr>
      </w:pPr>
      <w:r w:rsidRPr="00D627FD">
        <w:t>Calorie</w:t>
      </w:r>
      <w:r w:rsidRPr="00D627FD">
        <w:noBreakHyphen/>
        <w:t>restricted diet, and</w:t>
      </w:r>
    </w:p>
    <w:p w14:paraId="0EEB3CE9" w14:textId="2144C319" w:rsidR="00D627FD" w:rsidRPr="00D627FD" w:rsidRDefault="00D627FD" w:rsidP="00D627FD">
      <w:pPr>
        <w:numPr>
          <w:ilvl w:val="1"/>
          <w:numId w:val="5"/>
        </w:numPr>
      </w:pPr>
      <w:r w:rsidRPr="00D627FD">
        <w:t xml:space="preserve">Increased physical activity and behavioural counselling </w:t>
      </w:r>
    </w:p>
    <w:p w14:paraId="507F9FA5" w14:textId="77777777" w:rsidR="00D627FD" w:rsidRPr="00D627FD" w:rsidRDefault="00000000" w:rsidP="00D627FD">
      <w:r>
        <w:pict w14:anchorId="78EC9A87">
          <v:rect id="_x0000_i1026" style="width:0;height:1.5pt" o:hralign="center" o:hrstd="t" o:hr="t" fillcolor="#a0a0a0" stroked="f"/>
        </w:pict>
      </w:r>
    </w:p>
    <w:p w14:paraId="5D5A5B70" w14:textId="77777777" w:rsidR="00D627FD" w:rsidRDefault="00D627FD" w:rsidP="00D627FD">
      <w:pPr>
        <w:rPr>
          <w:rFonts w:ascii="Segoe UI Emoji" w:hAnsi="Segoe UI Emoji" w:cs="Segoe UI Emoji"/>
          <w:b/>
          <w:bCs/>
        </w:rPr>
      </w:pPr>
    </w:p>
    <w:p w14:paraId="40ACBE3E" w14:textId="77777777" w:rsidR="00D627FD" w:rsidRDefault="00D627FD" w:rsidP="00D627FD">
      <w:pPr>
        <w:rPr>
          <w:rFonts w:ascii="Segoe UI Emoji" w:hAnsi="Segoe UI Emoji" w:cs="Segoe UI Emoji"/>
          <w:b/>
          <w:bCs/>
        </w:rPr>
      </w:pPr>
    </w:p>
    <w:p w14:paraId="4B1C4B8A" w14:textId="6E72AEE7" w:rsidR="00D627FD" w:rsidRPr="00D627FD" w:rsidRDefault="00D627FD" w:rsidP="00D627FD">
      <w:pPr>
        <w:rPr>
          <w:b/>
          <w:bCs/>
        </w:rPr>
      </w:pPr>
      <w:r w:rsidRPr="00D627FD">
        <w:rPr>
          <w:rFonts w:ascii="Segoe UI Emoji" w:hAnsi="Segoe UI Emoji" w:cs="Segoe UI Emoji"/>
          <w:b/>
          <w:bCs/>
        </w:rPr>
        <w:t>📋</w:t>
      </w:r>
      <w:r w:rsidRPr="00D627FD">
        <w:rPr>
          <w:b/>
          <w:bCs/>
        </w:rPr>
        <w:t xml:space="preserve"> Eligibility Checklist (tick </w:t>
      </w:r>
      <w:r w:rsidRPr="00D627FD">
        <w:rPr>
          <w:rFonts w:ascii="Segoe UI Symbol" w:hAnsi="Segoe UI Symbol" w:cs="Segoe UI Symbol"/>
          <w:b/>
          <w:bCs/>
        </w:rPr>
        <w:t>✔</w:t>
      </w:r>
      <w:r w:rsidRPr="00D627FD">
        <w:rPr>
          <w:b/>
          <w:bCs/>
        </w:rPr>
        <w:t xml:space="preserve"> if yes):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1"/>
        <w:gridCol w:w="1005"/>
      </w:tblGrid>
      <w:tr w:rsidR="00D627FD" w:rsidRPr="00D627FD" w14:paraId="69A82F17" w14:textId="77777777" w:rsidTr="00D627F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78ADBBB" w14:textId="77777777" w:rsidR="00D627FD" w:rsidRPr="00D627FD" w:rsidRDefault="00D627FD" w:rsidP="00D627FD">
            <w:pPr>
              <w:rPr>
                <w:b/>
                <w:bCs/>
              </w:rPr>
            </w:pPr>
            <w:r w:rsidRPr="00D627FD">
              <w:rPr>
                <w:b/>
                <w:bCs/>
              </w:rPr>
              <w:t>Criterion</w:t>
            </w:r>
          </w:p>
        </w:tc>
        <w:tc>
          <w:tcPr>
            <w:tcW w:w="0" w:type="auto"/>
            <w:vAlign w:val="center"/>
            <w:hideMark/>
          </w:tcPr>
          <w:p w14:paraId="451C4C4E" w14:textId="77777777" w:rsidR="00D627FD" w:rsidRPr="00D627FD" w:rsidRDefault="00D627FD" w:rsidP="00D627FD">
            <w:pPr>
              <w:rPr>
                <w:b/>
                <w:bCs/>
              </w:rPr>
            </w:pPr>
            <w:r w:rsidRPr="00D627FD">
              <w:rPr>
                <w:b/>
                <w:bCs/>
              </w:rPr>
              <w:t>Eligible?</w:t>
            </w:r>
          </w:p>
        </w:tc>
      </w:tr>
      <w:tr w:rsidR="00D627FD" w:rsidRPr="00D627FD" w14:paraId="5FD96A9B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236EA0" w14:textId="77777777" w:rsidR="00D627FD" w:rsidRPr="00D627FD" w:rsidRDefault="00D627FD" w:rsidP="003164BE">
            <w:r w:rsidRPr="00D627FD">
              <w:t>Adult (≥</w:t>
            </w:r>
            <w:r w:rsidRPr="003164BE">
              <w:rPr>
                <w:rFonts w:ascii="Arial" w:hAnsi="Arial" w:cs="Arial"/>
              </w:rPr>
              <w:t> </w:t>
            </w:r>
            <w:r w:rsidRPr="00D627FD">
              <w:t>18</w:t>
            </w:r>
            <w:r w:rsidRPr="003164BE">
              <w:rPr>
                <w:rFonts w:ascii="Arial" w:hAnsi="Arial" w:cs="Arial"/>
              </w:rPr>
              <w:t> </w:t>
            </w:r>
            <w:r w:rsidRPr="00D627FD">
              <w:t>years)</w:t>
            </w:r>
          </w:p>
        </w:tc>
        <w:tc>
          <w:tcPr>
            <w:tcW w:w="0" w:type="auto"/>
            <w:vAlign w:val="center"/>
            <w:hideMark/>
          </w:tcPr>
          <w:p w14:paraId="0E57F833" w14:textId="77777777" w:rsidR="00D627FD" w:rsidRPr="00D627FD" w:rsidRDefault="00D627FD" w:rsidP="00D627FD">
            <w:r w:rsidRPr="00D627FD">
              <w:t>☐</w:t>
            </w:r>
          </w:p>
        </w:tc>
      </w:tr>
      <w:tr w:rsidR="00D627FD" w:rsidRPr="00D627FD" w14:paraId="0449A506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BB159" w14:textId="0EBDCEF6" w:rsidR="00D627FD" w:rsidRPr="00D627FD" w:rsidRDefault="00D627FD" w:rsidP="00D627FD">
            <w:r w:rsidRPr="00D627FD">
              <w:t>Type 2 diabetes diagnosis</w:t>
            </w:r>
          </w:p>
        </w:tc>
        <w:tc>
          <w:tcPr>
            <w:tcW w:w="0" w:type="auto"/>
            <w:vAlign w:val="center"/>
            <w:hideMark/>
          </w:tcPr>
          <w:p w14:paraId="312F7288" w14:textId="77777777" w:rsidR="00D627FD" w:rsidRPr="00D627FD" w:rsidRDefault="00D627FD" w:rsidP="00D627FD">
            <w:r w:rsidRPr="00D627FD">
              <w:t>☐</w:t>
            </w:r>
          </w:p>
        </w:tc>
      </w:tr>
      <w:tr w:rsidR="003164BE" w:rsidRPr="00D627FD" w14:paraId="11BEBD3A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91C34A" w14:textId="39C2A871" w:rsidR="003164BE" w:rsidRDefault="003164BE" w:rsidP="003164BE">
            <w:r w:rsidRPr="00D627FD">
              <w:t xml:space="preserve">On metformin </w:t>
            </w:r>
            <w:r>
              <w:t>and 2</w:t>
            </w:r>
            <w:r w:rsidRPr="00D627FD">
              <w:t xml:space="preserve"> other oral agents</w:t>
            </w:r>
            <w:r>
              <w:t xml:space="preserve"> (gliflozins, gliptins, gliclazide, pioglitazone), however diabetes remains</w:t>
            </w:r>
            <w:r w:rsidRPr="00D627FD">
              <w:t xml:space="preserve"> inadequately controlled</w:t>
            </w:r>
          </w:p>
          <w:p w14:paraId="184C93F3" w14:textId="496BE28B" w:rsidR="003164BE" w:rsidRPr="00D627FD" w:rsidRDefault="003164BE" w:rsidP="003164BE">
            <w:r>
              <w:t>(or i</w:t>
            </w:r>
            <w:r w:rsidRPr="00D627FD">
              <w:t>ntoleran</w:t>
            </w:r>
            <w:r>
              <w:t xml:space="preserve">ce or </w:t>
            </w:r>
            <w:r w:rsidRPr="00D627FD">
              <w:t>contraindicat</w:t>
            </w:r>
            <w:r>
              <w:t>ion to the oral agents listed above)</w:t>
            </w:r>
          </w:p>
        </w:tc>
        <w:tc>
          <w:tcPr>
            <w:tcW w:w="0" w:type="auto"/>
            <w:vAlign w:val="center"/>
            <w:hideMark/>
          </w:tcPr>
          <w:p w14:paraId="4CD490AB" w14:textId="3CDB7E94" w:rsidR="003164BE" w:rsidRPr="00D627FD" w:rsidRDefault="003164BE" w:rsidP="003164BE">
            <w:r w:rsidRPr="00D627FD">
              <w:t>☐</w:t>
            </w:r>
          </w:p>
        </w:tc>
      </w:tr>
      <w:tr w:rsidR="003164BE" w:rsidRPr="00D627FD" w14:paraId="09C41AF0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6E0A06" w14:textId="6CABABF3" w:rsidR="003164BE" w:rsidRPr="00D627FD" w:rsidRDefault="003164BE" w:rsidP="003164BE">
            <w:r w:rsidRPr="00D627FD">
              <w:t>BMI ≥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35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kg/m</w:t>
            </w:r>
            <w:r w:rsidRPr="00D627FD">
              <w:rPr>
                <w:rFonts w:ascii="Aptos" w:hAnsi="Aptos" w:cs="Aptos"/>
              </w:rPr>
              <w:t>²</w:t>
            </w:r>
            <w:r w:rsidRPr="00D627FD">
              <w:t xml:space="preserve"> with </w:t>
            </w:r>
            <w:r w:rsidRPr="00D627FD">
              <w:rPr>
                <w:rFonts w:ascii="Aptos" w:hAnsi="Aptos" w:cs="Aptos"/>
              </w:rPr>
              <w:t>≥</w:t>
            </w:r>
            <w:r w:rsidRPr="00D627FD">
              <w:rPr>
                <w:rFonts w:ascii="Arial" w:hAnsi="Arial" w:cs="Arial"/>
              </w:rPr>
              <w:t> </w:t>
            </w:r>
            <w:r w:rsidRPr="00D627FD">
              <w:t>1 obesity</w:t>
            </w:r>
            <w:r w:rsidRPr="00D627FD">
              <w:noBreakHyphen/>
              <w:t xml:space="preserve">related problem </w:t>
            </w:r>
            <w:r w:rsidRPr="00D627FD">
              <w:rPr>
                <w:b/>
                <w:bCs/>
              </w:rPr>
              <w:t>or</w:t>
            </w:r>
            <w:r w:rsidRPr="00D627FD">
              <w:t xml:space="preserve"> lower BMI threshold with occupational or medical benefit</w:t>
            </w:r>
          </w:p>
        </w:tc>
        <w:tc>
          <w:tcPr>
            <w:tcW w:w="0" w:type="auto"/>
            <w:vAlign w:val="center"/>
            <w:hideMark/>
          </w:tcPr>
          <w:p w14:paraId="61836B9C" w14:textId="77777777" w:rsidR="003164BE" w:rsidRPr="00D627FD" w:rsidRDefault="003164BE" w:rsidP="003164BE">
            <w:r w:rsidRPr="00D627FD">
              <w:t>☐</w:t>
            </w:r>
          </w:p>
        </w:tc>
      </w:tr>
      <w:tr w:rsidR="003164BE" w:rsidRPr="00D627FD" w14:paraId="24930703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4A25CE" w14:textId="77777777" w:rsidR="003164BE" w:rsidRPr="00D627FD" w:rsidRDefault="003164BE" w:rsidP="003164BE">
            <w:r w:rsidRPr="00D627FD">
              <w:t>Not currently on another GLP</w:t>
            </w:r>
            <w:r w:rsidRPr="00D627FD">
              <w:noBreakHyphen/>
              <w:t xml:space="preserve">1RA (e.g. </w:t>
            </w:r>
            <w:proofErr w:type="spellStart"/>
            <w:r w:rsidRPr="00D627FD">
              <w:t>semaglutide</w:t>
            </w:r>
            <w:proofErr w:type="spellEnd"/>
            <w:r w:rsidRPr="00D627FD">
              <w:t>)</w:t>
            </w:r>
          </w:p>
        </w:tc>
        <w:tc>
          <w:tcPr>
            <w:tcW w:w="0" w:type="auto"/>
            <w:vAlign w:val="center"/>
            <w:hideMark/>
          </w:tcPr>
          <w:p w14:paraId="0E9927A8" w14:textId="77777777" w:rsidR="003164BE" w:rsidRPr="00D627FD" w:rsidRDefault="003164BE" w:rsidP="003164BE">
            <w:r w:rsidRPr="00D627FD">
              <w:t>☐</w:t>
            </w:r>
          </w:p>
        </w:tc>
      </w:tr>
      <w:tr w:rsidR="003164BE" w:rsidRPr="00D627FD" w14:paraId="3C4D38F9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0D3A9" w14:textId="5AA80CD5" w:rsidR="003164BE" w:rsidRPr="00D627FD" w:rsidRDefault="003164BE" w:rsidP="003164BE">
            <w:r>
              <w:t>Recent retinal screening done and shows no contraindication</w:t>
            </w:r>
          </w:p>
        </w:tc>
        <w:tc>
          <w:tcPr>
            <w:tcW w:w="0" w:type="auto"/>
            <w:vAlign w:val="center"/>
            <w:hideMark/>
          </w:tcPr>
          <w:p w14:paraId="6444BE81" w14:textId="77777777" w:rsidR="003164BE" w:rsidRPr="00D627FD" w:rsidRDefault="003164BE" w:rsidP="003164BE">
            <w:r w:rsidRPr="00D627FD">
              <w:t>☐</w:t>
            </w:r>
          </w:p>
        </w:tc>
      </w:tr>
      <w:tr w:rsidR="003164BE" w:rsidRPr="00D627FD" w14:paraId="7135BED2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8F87B0" w14:textId="77777777" w:rsidR="003164BE" w:rsidRPr="00D627FD" w:rsidRDefault="003164BE" w:rsidP="003164BE">
            <w:r w:rsidRPr="00D627FD">
              <w:t>Agreement to structured diet/exercise/behavioural programme</w:t>
            </w:r>
          </w:p>
        </w:tc>
        <w:tc>
          <w:tcPr>
            <w:tcW w:w="0" w:type="auto"/>
            <w:vAlign w:val="center"/>
            <w:hideMark/>
          </w:tcPr>
          <w:p w14:paraId="125565F9" w14:textId="77777777" w:rsidR="003164BE" w:rsidRPr="00D627FD" w:rsidRDefault="003164BE" w:rsidP="003164BE">
            <w:r w:rsidRPr="00D627FD">
              <w:t>☐</w:t>
            </w:r>
          </w:p>
        </w:tc>
      </w:tr>
      <w:tr w:rsidR="003164BE" w:rsidRPr="00D627FD" w14:paraId="09F096C7" w14:textId="77777777" w:rsidTr="00D627F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E6756D" w14:textId="77777777" w:rsidR="003164BE" w:rsidRPr="00D627FD" w:rsidRDefault="003164BE" w:rsidP="003164BE">
            <w:r w:rsidRPr="00D627FD">
              <w:t xml:space="preserve">Plan for </w:t>
            </w:r>
            <w:proofErr w:type="spellStart"/>
            <w:r w:rsidRPr="00D627FD">
              <w:t>HbA₁c</w:t>
            </w:r>
            <w:proofErr w:type="spellEnd"/>
            <w:r w:rsidRPr="00D627FD">
              <w:t xml:space="preserve"> monitoring and safety follow</w:t>
            </w:r>
            <w:r w:rsidRPr="00D627FD">
              <w:noBreakHyphen/>
              <w:t>up</w:t>
            </w:r>
          </w:p>
        </w:tc>
        <w:tc>
          <w:tcPr>
            <w:tcW w:w="0" w:type="auto"/>
            <w:vAlign w:val="center"/>
            <w:hideMark/>
          </w:tcPr>
          <w:p w14:paraId="6533A93E" w14:textId="77777777" w:rsidR="003164BE" w:rsidRPr="00D627FD" w:rsidRDefault="003164BE" w:rsidP="003164BE">
            <w:r w:rsidRPr="00D627FD">
              <w:t>☐</w:t>
            </w:r>
          </w:p>
        </w:tc>
      </w:tr>
    </w:tbl>
    <w:p w14:paraId="782A378E" w14:textId="77777777" w:rsidR="003164BE" w:rsidRDefault="003164BE" w:rsidP="00D627FD"/>
    <w:p w14:paraId="1A05CFD7" w14:textId="447A6C83" w:rsidR="003164BE" w:rsidRDefault="003164BE" w:rsidP="00D627FD">
      <w:r>
        <w:t>(all of the above criteria must be met)</w:t>
      </w:r>
    </w:p>
    <w:p w14:paraId="4FA2345B" w14:textId="06A2438B" w:rsidR="00D627FD" w:rsidRPr="00D627FD" w:rsidRDefault="00000000" w:rsidP="00D627FD">
      <w:r>
        <w:pict w14:anchorId="27F1200F">
          <v:rect id="_x0000_i1027" style="width:0;height:1.5pt" o:hralign="center" o:hrstd="t" o:hr="t" fillcolor="#a0a0a0" stroked="f"/>
        </w:pict>
      </w:r>
    </w:p>
    <w:p w14:paraId="28080058" w14:textId="3EC6C9F0" w:rsidR="003164BE" w:rsidRDefault="006F3493" w:rsidP="00D627FD">
      <w:pPr>
        <w:rPr>
          <w:rFonts w:ascii="Aptos" w:hAnsi="Aptos" w:cs="Segoe UI Emoji"/>
          <w:b/>
          <w:bCs/>
        </w:rPr>
      </w:pPr>
      <w:r w:rsidRPr="003F0A84">
        <w:rPr>
          <w:rFonts w:ascii="Aptos" w:hAnsi="Aptos" w:cs="Segoe UI Emoji"/>
          <w:b/>
          <w:bCs/>
        </w:rPr>
        <w:t>Intensification</w:t>
      </w:r>
      <w:r w:rsidR="00E13713" w:rsidRPr="003F0A84">
        <w:rPr>
          <w:rFonts w:ascii="Aptos" w:hAnsi="Aptos" w:cs="Segoe UI Emoji"/>
          <w:b/>
          <w:bCs/>
        </w:rPr>
        <w:t xml:space="preserve"> of treatment.</w:t>
      </w:r>
    </w:p>
    <w:p w14:paraId="3166B93A" w14:textId="77777777" w:rsidR="007A74D6" w:rsidRDefault="007A74D6" w:rsidP="00D627FD">
      <w:pPr>
        <w:rPr>
          <w:rFonts w:ascii="Aptos" w:hAnsi="Aptos" w:cs="Segoe UI Emoji"/>
          <w:b/>
          <w:bCs/>
        </w:rPr>
      </w:pPr>
    </w:p>
    <w:p w14:paraId="494B5B61" w14:textId="4850713F" w:rsidR="007A74D6" w:rsidRDefault="007A74D6" w:rsidP="007A74D6">
      <w:pPr>
        <w:pStyle w:val="ListParagraph"/>
        <w:numPr>
          <w:ilvl w:val="0"/>
          <w:numId w:val="10"/>
        </w:numPr>
        <w:rPr>
          <w:rFonts w:ascii="Aptos" w:hAnsi="Aptos" w:cs="Segoe UI Emoji"/>
        </w:rPr>
      </w:pPr>
      <w:proofErr w:type="spellStart"/>
      <w:r w:rsidRPr="007A74D6">
        <w:rPr>
          <w:rFonts w:ascii="Aptos" w:hAnsi="Aptos" w:cs="Segoe UI Emoji"/>
        </w:rPr>
        <w:t>Mounjaro</w:t>
      </w:r>
      <w:proofErr w:type="spellEnd"/>
      <w:r>
        <w:rPr>
          <w:rFonts w:ascii="Aptos" w:hAnsi="Aptos" w:cs="Segoe UI Emoji"/>
        </w:rPr>
        <w:t xml:space="preserve"> is commenced at a dose of 2.5mg for one month and then increased to the maintenance dose of 5mg if tolerated.</w:t>
      </w:r>
    </w:p>
    <w:p w14:paraId="3A5A91AD" w14:textId="159B451F" w:rsidR="007A74D6" w:rsidRDefault="007A74D6" w:rsidP="007A74D6">
      <w:pPr>
        <w:pStyle w:val="ListParagraph"/>
        <w:numPr>
          <w:ilvl w:val="0"/>
          <w:numId w:val="10"/>
        </w:numPr>
        <w:rPr>
          <w:rFonts w:ascii="Aptos" w:hAnsi="Aptos" w:cs="Segoe UI Emoji"/>
        </w:rPr>
      </w:pPr>
      <w:r>
        <w:rPr>
          <w:rFonts w:ascii="Aptos" w:hAnsi="Aptos" w:cs="Segoe UI Emoji"/>
        </w:rPr>
        <w:t xml:space="preserve">When using </w:t>
      </w:r>
      <w:proofErr w:type="spellStart"/>
      <w:r>
        <w:rPr>
          <w:rFonts w:ascii="Aptos" w:hAnsi="Aptos" w:cs="Segoe UI Emoji"/>
        </w:rPr>
        <w:t>Mounjaro</w:t>
      </w:r>
      <w:proofErr w:type="spellEnd"/>
      <w:r>
        <w:rPr>
          <w:rFonts w:ascii="Aptos" w:hAnsi="Aptos" w:cs="Segoe UI Emoji"/>
        </w:rPr>
        <w:t xml:space="preserve"> to treat</w:t>
      </w:r>
      <w:r w:rsidR="000C6DD6">
        <w:rPr>
          <w:rFonts w:ascii="Aptos" w:hAnsi="Aptos" w:cs="Segoe UI Emoji"/>
        </w:rPr>
        <w:t xml:space="preserve"> diabetes, the 5mg dose has been shown to provide sufficient glucose lowering (the higher doses are used more to target weight loss).</w:t>
      </w:r>
    </w:p>
    <w:p w14:paraId="177FE7EA" w14:textId="2B941C2D" w:rsidR="000C6DD6" w:rsidRDefault="000C6DD6" w:rsidP="007A74D6">
      <w:pPr>
        <w:pStyle w:val="ListParagraph"/>
        <w:numPr>
          <w:ilvl w:val="0"/>
          <w:numId w:val="10"/>
        </w:numPr>
        <w:rPr>
          <w:rFonts w:ascii="Aptos" w:hAnsi="Aptos" w:cs="Segoe UI Emoji"/>
        </w:rPr>
      </w:pPr>
      <w:r>
        <w:rPr>
          <w:rFonts w:ascii="Aptos" w:hAnsi="Aptos" w:cs="Segoe UI Emoji"/>
        </w:rPr>
        <w:t xml:space="preserve">Recommendation is that patients remain on 5mg for a sufficient length of time (ideally until next diabetic review). Should their </w:t>
      </w:r>
      <w:proofErr w:type="spellStart"/>
      <w:r w:rsidR="00F277F1" w:rsidRPr="00D627FD">
        <w:t>HbA₁c</w:t>
      </w:r>
      <w:proofErr w:type="spellEnd"/>
      <w:r>
        <w:rPr>
          <w:rFonts w:ascii="Aptos" w:hAnsi="Aptos" w:cs="Segoe UI Emoji"/>
        </w:rPr>
        <w:t xml:space="preserve"> remain above target then the dose can be increased.</w:t>
      </w:r>
    </w:p>
    <w:p w14:paraId="1D10C401" w14:textId="4CD52153" w:rsidR="000C6DD6" w:rsidRDefault="000C6DD6" w:rsidP="007A74D6">
      <w:pPr>
        <w:pStyle w:val="ListParagraph"/>
        <w:numPr>
          <w:ilvl w:val="0"/>
          <w:numId w:val="10"/>
        </w:numPr>
        <w:rPr>
          <w:rFonts w:ascii="Aptos" w:hAnsi="Aptos" w:cs="Segoe UI Emoji"/>
        </w:rPr>
      </w:pPr>
      <w:r>
        <w:rPr>
          <w:rFonts w:ascii="Aptos" w:hAnsi="Aptos" w:cs="Segoe UI Emoji"/>
        </w:rPr>
        <w:t xml:space="preserve">If their </w:t>
      </w:r>
      <w:proofErr w:type="spellStart"/>
      <w:r w:rsidR="00F277F1" w:rsidRPr="00D627FD">
        <w:t>HbA₁c</w:t>
      </w:r>
      <w:proofErr w:type="spellEnd"/>
      <w:r>
        <w:rPr>
          <w:rFonts w:ascii="Aptos" w:hAnsi="Aptos" w:cs="Segoe UI Emoji"/>
        </w:rPr>
        <w:t xml:space="preserve"> is to target, we </w:t>
      </w:r>
      <w:r w:rsidR="003B704C">
        <w:rPr>
          <w:rFonts w:ascii="Aptos" w:hAnsi="Aptos" w:cs="Segoe UI Emoji"/>
        </w:rPr>
        <w:t>cannot</w:t>
      </w:r>
      <w:r>
        <w:rPr>
          <w:rFonts w:ascii="Aptos" w:hAnsi="Aptos" w:cs="Segoe UI Emoji"/>
        </w:rPr>
        <w:t xml:space="preserve"> increase </w:t>
      </w:r>
      <w:proofErr w:type="spellStart"/>
      <w:r>
        <w:rPr>
          <w:rFonts w:ascii="Aptos" w:hAnsi="Aptos" w:cs="Segoe UI Emoji"/>
        </w:rPr>
        <w:t>Mounjaro</w:t>
      </w:r>
      <w:proofErr w:type="spellEnd"/>
      <w:r>
        <w:rPr>
          <w:rFonts w:ascii="Aptos" w:hAnsi="Aptos" w:cs="Segoe UI Emoji"/>
        </w:rPr>
        <w:t xml:space="preserve"> dose</w:t>
      </w:r>
      <w:r w:rsidR="003B704C">
        <w:rPr>
          <w:rFonts w:ascii="Aptos" w:hAnsi="Aptos" w:cs="Segoe UI Emoji"/>
        </w:rPr>
        <w:t>.</w:t>
      </w:r>
    </w:p>
    <w:p w14:paraId="6D8EFE23" w14:textId="616C4A1F" w:rsidR="003B704C" w:rsidRPr="007A74D6" w:rsidRDefault="003B704C" w:rsidP="007A74D6">
      <w:pPr>
        <w:pStyle w:val="ListParagraph"/>
        <w:numPr>
          <w:ilvl w:val="0"/>
          <w:numId w:val="10"/>
        </w:numPr>
        <w:rPr>
          <w:rFonts w:ascii="Aptos" w:hAnsi="Aptos" w:cs="Segoe UI Emoji"/>
        </w:rPr>
      </w:pPr>
      <w:r>
        <w:rPr>
          <w:rFonts w:ascii="Aptos" w:hAnsi="Aptos" w:cs="Segoe UI Emoji"/>
        </w:rPr>
        <w:t xml:space="preserve">Maintenance doses of </w:t>
      </w:r>
      <w:proofErr w:type="spellStart"/>
      <w:r>
        <w:rPr>
          <w:rFonts w:ascii="Aptos" w:hAnsi="Aptos" w:cs="Segoe UI Emoji"/>
        </w:rPr>
        <w:t>Mounjaro</w:t>
      </w:r>
      <w:proofErr w:type="spellEnd"/>
      <w:r>
        <w:rPr>
          <w:rFonts w:ascii="Aptos" w:hAnsi="Aptos" w:cs="Segoe UI Emoji"/>
        </w:rPr>
        <w:t xml:space="preserve"> are 5mg, 10mg, 15mg.</w:t>
      </w:r>
    </w:p>
    <w:p w14:paraId="4DC65DFD" w14:textId="77777777" w:rsidR="003F0A84" w:rsidRDefault="003F0A84" w:rsidP="00D627FD">
      <w:pPr>
        <w:rPr>
          <w:rFonts w:ascii="Segoe UI Emoji" w:hAnsi="Segoe UI Emoji" w:cs="Segoe UI Emoji"/>
          <w:b/>
          <w:bCs/>
        </w:rPr>
      </w:pPr>
    </w:p>
    <w:p w14:paraId="1CBF5DFA" w14:textId="1444A203" w:rsidR="00D627FD" w:rsidRPr="00D627FD" w:rsidRDefault="00D627FD" w:rsidP="00D627FD">
      <w:pPr>
        <w:rPr>
          <w:b/>
          <w:bCs/>
        </w:rPr>
      </w:pPr>
      <w:r w:rsidRPr="00D627FD">
        <w:rPr>
          <w:rFonts w:ascii="Segoe UI Emoji" w:hAnsi="Segoe UI Emoji" w:cs="Segoe UI Emoji"/>
          <w:b/>
          <w:bCs/>
        </w:rPr>
        <w:t>✅</w:t>
      </w:r>
      <w:r w:rsidRPr="00D627FD">
        <w:rPr>
          <w:b/>
          <w:bCs/>
        </w:rPr>
        <w:t xml:space="preserve"> Summary</w:t>
      </w:r>
    </w:p>
    <w:p w14:paraId="74850E44" w14:textId="707CEF57" w:rsidR="00D627FD" w:rsidRPr="00D627FD" w:rsidRDefault="00D627FD" w:rsidP="00D627FD">
      <w:r w:rsidRPr="00D627FD">
        <w:t>Based on NICE TA</w:t>
      </w:r>
      <w:r w:rsidRPr="00D627FD">
        <w:rPr>
          <w:rFonts w:ascii="Arial" w:hAnsi="Arial" w:cs="Arial"/>
        </w:rPr>
        <w:t> </w:t>
      </w:r>
      <w:r w:rsidRPr="00D627FD">
        <w:t xml:space="preserve">924 and Welsh Government guidance, </w:t>
      </w:r>
      <w:proofErr w:type="spellStart"/>
      <w:r w:rsidR="00A3259F">
        <w:t>Mounjaro</w:t>
      </w:r>
      <w:proofErr w:type="spellEnd"/>
      <w:r w:rsidRPr="00D627FD">
        <w:t xml:space="preserve"> can be prescribed for type</w:t>
      </w:r>
      <w:r w:rsidRPr="00D627FD">
        <w:rPr>
          <w:rFonts w:ascii="Arial" w:hAnsi="Arial" w:cs="Arial"/>
        </w:rPr>
        <w:t> </w:t>
      </w:r>
      <w:r w:rsidRPr="00D627FD">
        <w:t>2 diabetes patients in</w:t>
      </w:r>
      <w:r w:rsidR="003164BE">
        <w:t xml:space="preserve"> primary care in</w:t>
      </w:r>
      <w:r w:rsidRPr="00D627FD">
        <w:t xml:space="preserve"> Wales </w:t>
      </w:r>
      <w:r w:rsidRPr="00D627FD">
        <w:rPr>
          <w:b/>
          <w:bCs/>
        </w:rPr>
        <w:t>only when</w:t>
      </w:r>
      <w:r w:rsidRPr="00D627FD">
        <w:t>:</w:t>
      </w:r>
    </w:p>
    <w:p w14:paraId="2F814DBA" w14:textId="77777777" w:rsidR="00D627FD" w:rsidRPr="00D627FD" w:rsidRDefault="00D627FD" w:rsidP="00D627FD">
      <w:pPr>
        <w:numPr>
          <w:ilvl w:val="0"/>
          <w:numId w:val="8"/>
        </w:numPr>
      </w:pPr>
      <w:r w:rsidRPr="00D627FD">
        <w:t>Triple oral therapy has failed or isn't tolerated</w:t>
      </w:r>
    </w:p>
    <w:p w14:paraId="0E8F9856" w14:textId="77777777" w:rsidR="00D627FD" w:rsidRPr="00D627FD" w:rsidRDefault="00D627FD" w:rsidP="00D627FD">
      <w:pPr>
        <w:numPr>
          <w:ilvl w:val="0"/>
          <w:numId w:val="8"/>
        </w:numPr>
      </w:pPr>
      <w:r w:rsidRPr="00D627FD">
        <w:t>The patient meets BMI and comorbidity criteria (with certain lowered thresholds for ethnic</w:t>
      </w:r>
      <w:r w:rsidRPr="00D627FD">
        <w:noBreakHyphen/>
        <w:t>minority groups)</w:t>
      </w:r>
    </w:p>
    <w:p w14:paraId="1CFE345E" w14:textId="77777777" w:rsidR="00D627FD" w:rsidRPr="00D627FD" w:rsidRDefault="00D627FD" w:rsidP="00D627FD">
      <w:pPr>
        <w:numPr>
          <w:ilvl w:val="0"/>
          <w:numId w:val="8"/>
        </w:numPr>
      </w:pPr>
      <w:r w:rsidRPr="00D627FD">
        <w:t>It is delivered alongside comprehensive lifestyle support and monitored closely.</w:t>
      </w:r>
    </w:p>
    <w:p w14:paraId="68A1C8E9" w14:textId="77777777" w:rsidR="00256FE6" w:rsidRDefault="00256FE6"/>
    <w:sectPr w:rsidR="00256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D72E1"/>
    <w:multiLevelType w:val="multilevel"/>
    <w:tmpl w:val="F3C4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166DD"/>
    <w:multiLevelType w:val="hybridMultilevel"/>
    <w:tmpl w:val="FBB02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74465"/>
    <w:multiLevelType w:val="multilevel"/>
    <w:tmpl w:val="351A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25A34"/>
    <w:multiLevelType w:val="multilevel"/>
    <w:tmpl w:val="9CD8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A3578B"/>
    <w:multiLevelType w:val="hybridMultilevel"/>
    <w:tmpl w:val="27FA1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94618"/>
    <w:multiLevelType w:val="multilevel"/>
    <w:tmpl w:val="A8D6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B41AC7"/>
    <w:multiLevelType w:val="multilevel"/>
    <w:tmpl w:val="F31C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267EA0"/>
    <w:multiLevelType w:val="multilevel"/>
    <w:tmpl w:val="455E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6C4FAB"/>
    <w:multiLevelType w:val="multilevel"/>
    <w:tmpl w:val="33F21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500D53"/>
    <w:multiLevelType w:val="multilevel"/>
    <w:tmpl w:val="AAC2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8815594">
    <w:abstractNumId w:val="9"/>
  </w:num>
  <w:num w:numId="2" w16cid:durableId="132329337">
    <w:abstractNumId w:val="5"/>
  </w:num>
  <w:num w:numId="3" w16cid:durableId="1632711802">
    <w:abstractNumId w:val="7"/>
  </w:num>
  <w:num w:numId="4" w16cid:durableId="1426918443">
    <w:abstractNumId w:val="6"/>
  </w:num>
  <w:num w:numId="5" w16cid:durableId="2036224074">
    <w:abstractNumId w:val="0"/>
  </w:num>
  <w:num w:numId="6" w16cid:durableId="511842736">
    <w:abstractNumId w:val="8"/>
  </w:num>
  <w:num w:numId="7" w16cid:durableId="1632980171">
    <w:abstractNumId w:val="2"/>
  </w:num>
  <w:num w:numId="8" w16cid:durableId="77869319">
    <w:abstractNumId w:val="3"/>
  </w:num>
  <w:num w:numId="9" w16cid:durableId="413941919">
    <w:abstractNumId w:val="4"/>
  </w:num>
  <w:num w:numId="10" w16cid:durableId="1017538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7FD"/>
    <w:rsid w:val="000B30C1"/>
    <w:rsid w:val="000C6DD6"/>
    <w:rsid w:val="001E6216"/>
    <w:rsid w:val="00256FE6"/>
    <w:rsid w:val="003164BE"/>
    <w:rsid w:val="003B704C"/>
    <w:rsid w:val="003F0A84"/>
    <w:rsid w:val="00412C2F"/>
    <w:rsid w:val="006D3794"/>
    <w:rsid w:val="006F3493"/>
    <w:rsid w:val="007A74D6"/>
    <w:rsid w:val="008A2258"/>
    <w:rsid w:val="0095355C"/>
    <w:rsid w:val="00A23441"/>
    <w:rsid w:val="00A3259F"/>
    <w:rsid w:val="00D627FD"/>
    <w:rsid w:val="00E13713"/>
    <w:rsid w:val="00F20E91"/>
    <w:rsid w:val="00F277F1"/>
    <w:rsid w:val="00F5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2712C"/>
  <w15:chartTrackingRefBased/>
  <w15:docId w15:val="{70F2E13B-6D27-4FF5-9628-12589559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F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6FE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6FE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6FE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6FE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6FE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6FE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6FE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FE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6FE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6FE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6FE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6FE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6FE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6FE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6FE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6FE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56FE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56FE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6FE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56FE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56FE6"/>
    <w:rPr>
      <w:b/>
      <w:bCs/>
    </w:rPr>
  </w:style>
  <w:style w:type="character" w:styleId="Emphasis">
    <w:name w:val="Emphasis"/>
    <w:basedOn w:val="DefaultParagraphFont"/>
    <w:uiPriority w:val="20"/>
    <w:qFormat/>
    <w:rsid w:val="00256FE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56FE6"/>
    <w:rPr>
      <w:szCs w:val="32"/>
    </w:rPr>
  </w:style>
  <w:style w:type="paragraph" w:styleId="ListParagraph">
    <w:name w:val="List Paragraph"/>
    <w:basedOn w:val="Normal"/>
    <w:uiPriority w:val="34"/>
    <w:qFormat/>
    <w:rsid w:val="00256F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56FE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56FE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FE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6FE6"/>
    <w:rPr>
      <w:b/>
      <w:i/>
      <w:sz w:val="24"/>
    </w:rPr>
  </w:style>
  <w:style w:type="character" w:styleId="SubtleEmphasis">
    <w:name w:val="Subtle Emphasis"/>
    <w:uiPriority w:val="19"/>
    <w:qFormat/>
    <w:rsid w:val="00256FE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56FE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56FE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56FE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56FE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FE6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627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 Williams (Vauxhall - Ty Elli Group Practice)</dc:creator>
  <cp:keywords/>
  <dc:description/>
  <cp:lastModifiedBy>Bethan Williams (Vauxhall - Ty Elli Group Practice)</cp:lastModifiedBy>
  <cp:revision>13</cp:revision>
  <cp:lastPrinted>2025-07-31T11:11:00Z</cp:lastPrinted>
  <dcterms:created xsi:type="dcterms:W3CDTF">2025-07-31T07:42:00Z</dcterms:created>
  <dcterms:modified xsi:type="dcterms:W3CDTF">2025-08-06T13:08:00Z</dcterms:modified>
</cp:coreProperties>
</file>